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«Евроцемент транспортные решения» обратилось в Арбитражный суд Нижегородской области с иском о взыскании с ООО «АВТО ОЙЛ» 500 000 рублей штрафа на основании договора об организации перевозок цементной продукции автомобильным транспортом от 01.01.2020 № ЕЦтр/01ус-20.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ФИО1. Решением Арбитражного суда Нижегородской области от 06.10.2021 иск удовлетворен. Постановлением Первого арбитражного апелляционного суда от 22.12.2021 решение суда первой инстанции оставлено без изменения. Арбитражный суд Волго-Вятского округа постановлением от 20.04.2022 указанные судебные акты оставил без изменения. ООО «АВТО ОЙЛ»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64 , 65 , 71 Арбитражного процессуального кодекса Российской Федерации, признав доказанным факт ненадлежащего исполнения ответчиком обязательств по договору, руководствуясь положениями статей 309 , 310 , 785 , 793 Гражданского кодекса Российской Федерации, суды пришли к выводу о правомерности требования о взыскании предусмотренной договором штрафной неустойки.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"Евроцемент транспортные решения" (подробнее) Ответчики: ООО "Авто ойл"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