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15.09.2021, оставленным без изменения постановлением Четвертого арбитражного апелляционного суда от 13.12.2021 и постановлением Арбитражного суда Восточно-Сибирского округа от 05.04.2022,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424, 452, 453, 702, 709 Гражданского кодекса Российской Федерации, суды первой и апелляционной инстанций не усмотрели оснований для удовлетворения иска, исходя из отсутствия доказательств согласования ответчиком выполнения спорных дополнительных работ, их объема и стоимости.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«УралИнтерСтрой»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