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одновременно с подачей кассационной жалобы обществом заявлено ходатайство об отсрочке уплаты государственной пошлины. В обоснование ходатайства заявитель указывает на отсутствие денежных средств на счете.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 2 Суд признает, что приведенные заявителем доводы и представленные в обоснование ходатайства документы подтверждают невозможность исполнения обязанности по уплате государственной пошлины за рассмотрение кассационной жалобы на дату ее подачи, в связи с чем ходатайство об отсрочке уплаты государственной пошлины подлежит удовлетворению. На основании изложенного, руководствуясь статьями 102, 184, 291.3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общества с ограниченной ответственностью «Гранд Гарант»; предоставить отсрочку уплаты государственной пошлины в размере 3 000 рублей сроком до окончания производства по кассационной жалобе. Судья Верховного Суда Борисова Е. Е.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