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Ульяновской области от 01.10.2021, оставленным без изменения постановлением Одиннадцатого арбитражного апелляционного суда от 15.12.2021 и постановлением Арбитражного суда Поволжского округа от 06.04.2022,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2 и процессуального права,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установив факт исполнения компанией (поставщик) обязательства по поставке обществу (покупатель) предварительно оплаченного им оборудования, руководствуясь статьями 309, 310, 454, 486, 487, 506 Гражданского кодекса Российской Федерации, суды первой и апелляционной инстанций пришли к выводу об отсутствии оснований для удовлетворения исковых требований, с чем впоследствии согласился суд округа. Выводы судов подробно мотивированы в обжалуемых судебных актах, основаны на представленных в материалы дела доказательствах и установленных на их основании фактических обстоятельствах.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«СТЕК»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