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Гремякова Александра Владимировича финансовый управляющий обратился в Арбитражный суд города Москвы с заявлением о разрешении разногласий, возникших между финансовым управляющим, кредитором Гремяковой И.В. и должником, относительно начисления и распределения мораторных процентов, а также разрешения вопроса о приостановлении распределения вырученных от реализации имущества должника денежных средств до принятия решения судом общей юрисдикции о разграничении права совместной собственности. Определением Арбитражного суда города Москвы от 13.12.2021 разрешены разногласия; установлено, что законных оснований для приостановления расчетов с кредиторами до разрешения судебного спора в Дорогомиловском районном суде по делу № 2-1088/2021 не имеется; мораторные проценты подлежат начислению до фактической даты погашении реестровой задолженности кредитора. Постановлением Девятого арбитражного апелляционного суда от 15.02.2022 определение суда первой инстанции оставлено без изменения. Арбитражный суд Московского округа постановлением от 22.04.2022 указанные судебные акты оставил без изменения. 2 Гремякова И.В.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приостановлении расчетов с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статьями 60, 142 Федерального закона от 26.10.2002 № 127-ФЗ «О несостоятельности (банкротстве)» и исходили из отсутствия законных оснований для удовлетворения требования о приостановлении расчетов с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