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17.08.2021, оставленным без изменения постановлением Тринадцатого арбитражного апелляционного суда от 02.12.2021 и постановлением Арбитражного суда Северо-Западного округа от 01.04.2022,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принимая во внимание обстоятельства, установленные вступившими в законную силу судебными актами по делам № А56-60953/2019, № А56-7498/2020, принимая во внимание, что общество (арендатор) после прекращения спорного договора не возвратило компании (арендодатель) арендованное имущество, доказательств внесения платы за фактическое пользование имуществом в спорный период, а также его утраты не представило, руководствуясь статьями 606, 614, 622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общества о приостановлении исполнения обжалуемых судебных актов не подлежит рассмотрению.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«Мостоотряд № 75»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