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«НефтеТрансСервис»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«Нефтехимическая транспортная компания» 1 980 000 рублей штрафа за сверхнормативное использование вагонов и 744 080 рублей компенсации при выводе вагонов из использования. Решением Арбитражного суда города Москвы от 28.09.2021 иск удовлетворен в части взыскания 2 500 000 рублей; в удовлетворении иска в остальной части отказано. Постановлением Девятого арбитражного апелляционного суда от 23.12.2021 решение суда первой инстанции оставлено без изменения. Арбитражный суд Московского округа постановлением от 15.04.2022 указанные судебные акты оставил без изменения. ООО «Нефтехимическая транспортная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компенсации за передислокацию порожних вагонов,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в части взыскании компенсации,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вступивший в законную силу судебный акт по делу № А40-26755/2021, установив фактическое несение истцом (исполнителем) расходов в связи с передислокацией вагонов от станции выгрузки до станции предшествующей погрузки (в связи с выводом из использования вагонов), руководствуясь положениями статей 309, 310, 779, 782 Гражданского кодекса Российской Федерации, пришли к выводу об обоснованности заявленного требования.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