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25.07.2022 повторно направило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Первоначально поданная (18.06.2022) жалоба возвращена заявителю на основании пункта 1 части 1 статьи 2915 Арбитражного процессуального кодекса Российской Федерации, поскольку в приобщенном к жалобе платежном поручении от 16.06.2022 № 4 отсутствует отметка банка о его исполнении. Нарушение порядка подачи кассационной жалобы,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3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«Исполин»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