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Сапожниковой Натальи Григорьевны в Арбитражный суд Самарской области обратилась Дорохова Е.Н. (кредитор) с заявлением о разрешении разногласий с финансовым управляющим Шкодиной (Прохоровой) М.В. и включении в конкурсную массу должника 1/2 доли в праве собственности на жилой дом и 1/2 доли в праве собственности на земельный участок. Определением Арбитражного суда Самарской области от 29.10.2021 в удовлетворении заявления о включении спорного имущества в конкурсную массу должника отказано. Постановлением Одиннадцатого арбитражного апелляционного суда от 29.12.2021 определение суда первой инстанции оставлено без изменения. Арбитражный суд Поволжского округа постановлением от 11.04.2022 указанные судебные акты оставил без изменения. Дорохова Е.Н.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60, 213.25, 213.26 Федерального закона от 26.10.2002 № 127-ФЗ «О несостоятельности (банкротстве)», статьей 446 Гражданского процессуального кодекса Российской Федерации и исходили из того, что спорное имущество обладает исполнительским иммунитетом.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