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23.11.2021, оставленным без изменения постановлением Седьмого арбитражного апелляционного суда от 15.02.2022 и постановлением Арбитражного суда Западно-Сибирского округа от 21.04.2022, первоначальные исковые требования удовлетворены частично, с общества «Метагрупп» в пользу общества «Адванс» взыскано 3 525 800 руб. авансового платежа по договору купли-продажи, 414 800 руб. штрафа, в удовлетворении остальной части требований и в удовлетворении встречного иска отказано. В кассационной жалобе, поданной в Верховный Суд Российской Федерации, общество «Метагрупп»,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первоначальных требований и удовлетворении встречного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договоров купли-продажи и финансовой аренды, установив, что общество «Метагрупп» (продавец) нарушило срок поставки оборудования по договору купли-продажи; договор купли-продажи расторгнут обществом «Адванс» (лизингополучатель) и компанией (покупатель) в связи с существенным нарушением продавцом его условий, при этом перечисленный последнему аванс не возвращен, руководствуясь статьями 309, 310, 450, 450.1, 453, 454, 457, 487, 506, 509, 668, 670, 706 Гражданского кодекса Российской Федерации, суды первой и апелляционной инстанций пришли к выводу о наличии оснований для удовлетворения первоначального иска в части взыскания с общества «Метагрупп» авансового платежа и штрафа, отказав в удовлетворении встречного иска. Суд округа поддержал выводы судов первой и апелляционной инстанций.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3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«Метагрупп»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