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20.08.2021, оставленным без изменения постановлением Девятого арбитражного апелляционного суда от 22.11.2021 и постановлением Арбитражного суда Московского округа от 31.03.2022, в удовлетворении иска отказано. В кассационной жалобе, поданной в Верховный Суд Российской Федерации, предприниматель просит отменить указанные судебные акты, ссылаясь на их незаконность.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пришли к выводу о том, что предпринимателю по договору уступки передано от общества несуществующее право требования к управлению по договорам поставки, поскольку эти договоры носят мнимый характер, направлены на создание искусственной задолженности, заключены без намерения создать соответствующие правовые последствия. При таких обстоятельствах, руководствуясь статьями 1, 10, 168, 382, 384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не усмотрели оснований для удовлетворения иска,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Кваснина Василия Семеновича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