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13.09.2021, оставленным без изменения постановлением Двадцатого арбитражного апелляционного суда от 29.11.2021 и постановлением Арбитражного суда Центрального округа от 07.04.2022,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Рязанской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первой и апелляционной инстанций, с выводами которых впоследствии согласился суд округа, руководствуясь статьями 10, 303, 1102, 1103, 1105, 1108 Гражданского кодекса Российской Федерации, принимая во внимание обстоятельства, установленные вступившими в законную силу судебными актами по делу № А54-6000/2014, исходили из отсутствия у истца, как недобросовестного владельца имущества, права на возмещение затрат на улучшение этого имущества.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«МериКлон»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