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08.11.2021, оставленным без изменения постановлением Третьего арбитражного апелляционного суда от 25.01.2022 и постановлением Арбитражного суда Восточно-Сибирского округа от 07.04.2022, в удовлетворении исковых требований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материального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307, 309, 310, 329, 330, 405, 406, 606, 614, 615, 622, 655 Гражданского кодекса Российской Федерации, суды первой и апелляционной инстанций, с которыми впоследствии согласился суд округа, пришли к выводу об отсутствии оснований для удовлетворения исковых требований, исходя из установленных обстоятельств, свидетельствующих о невозможности использования ответчиком (арендатор) нежилых помещений в спорный период ввиду ограничения истцом (арендодатель) доступа в помещения.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«КраМЗ-Прокат»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