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«ТК Партнер» (экспедитор) обратилось в Арбитражный суд города Москвы с иском о взыскании с ООО «Транснефть-Логистика» (клиента) убытков. Решением Арбитражного суда города Москвы от 13.10.2021 иск удовлетворен. Постановлением Девятого арбитражного апелляционного суда от 07.02.2022 решение суда первой инстанции отменено и в удовлетворении иска отказано. Арбитражный суд Московского округа постановлением от 28.04.2022 постановление суда апелляционной инстанции оставил без изменения. ООО «ТК Партнер»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ответчиком при выдаче истцу поручений на спорные перевозки не допущено нарушений условий договора, действия ответчика по оперативному заключению замещающей сделки с другим экспедитором в отношении маршрутов, от которых истец неправомерно, в нарушение условий договора, отказался, являются целесообразными и оправданными, руководствуясь статьями 15, 393, 393.1, 431 Гражданского кодекса Российской Федерации, суды апелляционной и кассационной инстанций пришли к выводу, что требование о выплате по банковской гарантии предъявлено ответчиком правомерно и списание с банковского счета истца на основании безотзывной банковской гарантии обосновано.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