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Годлевского Евгения Вадимовича в Арбитражный суд города Москвы обратилось ООО «Профит Фарм» с заявлением о включении в реестр требований кредиторов должника требования о привлечении должника к субсидиарной ответственности по обязательствам контролируемой им иностранной компании EUROPHARM(UK) COLTD, вытекающим из договора поручительства, заключенного в обеспечение исполнения обязательств АО «Добродея» по мировому соглашению от 09.08.2017 по делу № А40-34122/2017. Определением Арбитражного суда города Москвы от 03.11.2021 в удовлетворении заявления отказано. Постановлением Девятого арбитражного апелляционного суда от 26.01.2022 определение суда первой инстанции оставлено без изменения. Арбитражный суд Московского округа постановлением от 11.04.2022 указанные судебные акты оставил без изменения. ООО «Профит Фарм»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15, 53, 53.1 Гражданского кодекса Российской Федерации, статьями 71, 100, 142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пунктом 25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недоказанности кредитором наличия совокупности обстоятельств, необходимой для привлечения должника к гражданско-правовой ответственности в виде возмещения убытков, и включения заявленного требования в реестр требований кредиторов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