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07.10.2021, оставленным без изменения постановлением Пятнадцатого арбитражного апелляционного суда от 08.12.2021 и постановлением Арбитражного суда Северо-Кавказского округа от 31.03.2022,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права, несоответствие их выводов фактическим обстоятельствам дела, просит отменить указанные судебные акты и принять новый судебный акт об удовлетворении иска.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Принимая обжалуемые судебные акты, суды руководствовались положениями статей 309, 310, 779, 781, 782 Гражданского кодекса Российской Федерации и исходили из необоснованности и документальной неподтвержденности заявленных требований. Выводы судов подробно мотивированы в обжалуемых судебных актах, основаны на представленных в материалы дела доказательствах, исследованных и получивших оценку в соответствии со статьей 71 Арбитражного процессуального кодекса Российской Федерации, и установленных на их основании фактических обстоятельствах. Доводы кассационной жалобы не свидетельствуют о существенном нарушении судами норм материального и процессуального права, повлиявших на исход дела, по существу направлены на переоценку установленных фактических обстоятельств дела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«Один медиа плюс»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