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13.10.2021, оставленным без изменения постановлением Второго арбитражного апелляционного суда от 20.12.2021 и постановлением Арбитражного суда Волго-Вятского округа от 30.03.2022, производство по делу в части взыскания 1 704 220 руб. долга прекращено в связи с отказом предприятия от иска в данной части, с общества в пользу предприятия взыскано 555 575 руб. 72 коп. неустойки.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установив факт нарушения обществом (заказчик) срока оплаты выполненных предприятием (исполнитель) работ, суды первой и апелляционной инстанций признали обоснованным начисление неустойки за заявленный период. Проверив и признав верным расчет неустойки, не установив оснований для применения положений статьи 333 Гражданского кодекса Российской Федерации ввиду отсутствия доказательств явной несоразмерности неустойки последствиям нарушения обязательства, руководствуясь статьями 190, 309, 310, 314, 327.1, 329, 330, 421, 702, 711, 753 Гражданского кодекса Российской Федерации, разъяснениями, изложенными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удовлетворили требования предприятия,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«Марлин»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