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обратилась в суд с заявлением о включении в реестр требований кредиторов должника требования в размере 6 904 718 рублей 14 копеек, в том числе: 6 862 207 рублей 10 копеек основного долга и 42 511 рублей 04 копеек расходов по уплате государственной пошлины. Определением Арбитражного суда Новосибирской области от 05.11.2019, оставленным без изменения постановлением Седьмого арбитражного апелляционного суда от 23.12.2019, прекращено производство по заявлению в части включения требования в размере 6 862 207 рублей 10 копеек, отказано в удовлетворении остальной части заявления. Постановлением Арбитражного суда Западно-Сибирского округа от 28.05.2020 отменены определение суда первой инстанции от 05.11.2019 и постановление апелляционного суда от 23.12.2019 в части прекращения производства по заявлению, в указанной части обособленный спор направлен на новое рассмотрение в Арбитражный суд Новосибирской области, в остальной части обжалуемые судебные акты оставлены без изменения. В кассационной жалобе, поданной в Верховный Суд Российской Федерации, заявитель просит отменить постановление суда округа в части оставления судебных актов без изменения, удовлетворить требования в части основного долга.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судебные акты без изменения в обжалуемой части, суд округа согласился с выводом судов первой и апелляционной инстанций об отсутствии оснований для признания обоснованным требования в части расходов по государственной пошлине ввиду того, что данные расходы являются общим обязательством супругов ФИО3. В связи с тем, что вопрос об удовлетворении либо отказе в удовлетворении требований в части основного долга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"Юридическая практика" (подробнее) Иные лица: Арбитражный суд Западно-Сибирского округа (подробнее) ГУ УВМ МВД России по Новосибирской области Отделение адресно-справочной работы (подробнее) ЗАО фирма "ОСТ" (подробнее) ПАО Банк ВТБ (подробнее) ПАО Сбербанк (подробнее) Седьмой арбитражный апелляционный суд (подробнее) Судьи дела: Корнелюк Е.С. (судья) (подробнее) Последние документы по делу: Определение от 28 июля 2022 г. по делу № А45-28172/2017 Определение от 1 сентября 2020 г. по делу № А45-28172/2017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