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22.07.2022 обратился в Верховный Суд Российской Федерации с жалобой на определение судьи Верховного Суда Российской Федерации от 24.05.2022 № 304-ЭС22-6668, решение Арбитражного суда Ханты- Мансийского автономного округа - Югры от 31.05.2022, постановление Восьмого арбитражного апелляционного суда от 16.09.2021 и постановление Арбитражного суда Западно-Сибирского округа от 26.01.2022 по делу № А75-271/2021,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В отсутствие уважительных причин пропуска указанного срока ссылка заявителя на неистечение шестимесячного пресекательного срока не может быть принята во внимание.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«СтройАльянс»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