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Республики Саха (Якутия) от 21.07.2021, оставленным без изменения постановлением Четвертого арбитражного апелляционного суда от 06.12.2021 и постановлением Арбитражного суда Восточно-Сибирского округа от 25.03.2022, в удовлетворении иска отказано. В кассационной жалобе, поданной в Верховный Суд Российской Федерации, общество просит отменить указанные судебные акты и принять по делу новый судебный акт об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408, 432, 702, 708, 711, 720, 740, 743, 746, 753 Гражданского кодекса Российской Федерации, не установив обстоятельств, подтверждающих наличие задолженности ответчика перед истцом в заявленном размере, суды первой и апелляционной инстанций отказали в удовлетворении иска, с чем впоследствии согласился суд округа. Изложенные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Строительная Компания «Авангард»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