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«Фертус» обратилось в Арбитражный суд города Москвы с иском о взыскании с ООО «Комета.фит» 45 611 139 рублей 54 копеек стоимости удерживаемого оборудования и 6 384 309 рублей 92 копеек реального ущерба в виде процентов за пользование денежными средствами по кредитному договору. Решением Арбитражного суда города Москвы от 21.10.2021 в удовлетворении иска отказано. Постановлением Девятого арбитражного апелляционного суда от 23.12.2021 решение суда первой инстанции оставлено без изменения. Арбитражный суд Московского округа постановлением от 04.04.2022 указанные судебные акты оставил без изменения. ООО «Фертус»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статей 65, 71 Арбитражного процессуального кодекса Российской Федерации, учитывая отсутствие достаточных доказательств, подтверждающих переход к истцу права собственности на спорное оборудование, недоказанность нахождения спорного оборудования у ответчика, наличия вреда и причинения истцу реального ущерба в результате действий (бездействия) ответчика, руководствуясь положениями статей 15, 224, 301, 393, 1064 Гражданского кодекса Российской Федерации, суды пришли к выводу о недоказанности истцом наличия совокупности обстоятельств, необходимой для привлечения ответчика к гражданско-правовой ответственности в виде возмещения убытков.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