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19.07.2021, оставленным без изменения постановлением Девятого арбитражного апелляционного суда от 01.12.2021 и постановлением Арбитражного суда Московского округа от 25.03.2022, с общества в пользу компании взыскано 16 008 065 руб. арендной платы, 1 000 000 руб. неустойки по состоянию на 31.05.2021, а также неустойка в размере 0,1% за каждый день просрочки на сумму долга, начиная с 01.06.2021 по день фактической оплаты долга, в удовлетворении остальной части требований отказано.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 в редакции дополнительного соглашения, установив факт передачи компанией (арендодатель) нежилого помещения обществу (арендатор) и неисполнения последним обязанности по внесению арендных платежей в заявленный период и доплате обеспечительного платежа, руководствуясь статьями 309, 310, 330, 606, 614 Гражданского кодекса Российской Федерации, суды первой и апелляционной инстанций пришли к выводу о наличии оснований для взыскания с ответчика в пользу истца испрашиваемой задолженности и неустойки в размере, определенном с учетом применения статьи 333 Гражданского кодекса Российской Федерации.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«Торговый дом «Перекресток»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