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13.09.2021, оставленным без изменения постановлением Девятого арбитражного апелляционного суда от 26.11.2021 и постановлением Арбитражного суда Московского округа от 30.03.2022, в удовлетворении иска отказано. В кассационной жалобе, поданной в Верховный Суд Российской Федерации, общество, ссылаясь нарушение судами норм материального и процессуального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которыми впоследствии согласился суд округа, руководствовались статьями 381.1, 421, 606, 622, 1102 Гражданского кодекса Российской Федерации и исходили из установленных обстоятельств, свидетельствующих об отсутствии у ответчика оснований для возврата обеспечительного платежа. В судебных актах приведены подробные мотивы, по которым суды пришли к такому выводу, с указанием на конкретные обстоятельства и доказательства, исследованные и оцененные по правилам статьи 71 Арбитражного процессуального кодекса Российской Федерации. Доводы, изложенные в кассационной жалобе, в том числе об отказе в назначении судебной экспертизы, выводы судов не опровергают,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«Субару Мотор»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