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14.09.2021, оставленным без изменения постановлением Одиннадцатого арбитражного апелляционного суда от 16.12.2021 и постановлением Арбитражного суда 2 Поволжского округа от 25.03.2022, первоначальный иск удовлетворен,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во исполнение обязательств по спорному договору компания (генеральный подрядчик) перечислила обществу (подрядчик) аванс в общей сумме 474 681 412 руб.; стоимость выполненных подрядчиком и принятых генеральным подрядчиком работ составила 207 642 451 руб. Установив факт нарушения подрядчиком сроков выполнения работ, суды признали правомерным отказ компании от исполнения договора и, принимая во внимание отсутствие доказательств выполнения подрядчиком работ на спорную сумму, передачи их результата генеральному подрядчику до расторжения договора либо возврата ему денежных средств, руководствуясь статьями 166, 309, 310, 450, 453, 702, 711, 715, 720, 740, 753, 760, 1102 Гражданского кодекса Российской Федерации, пришли к выводу о наличии оснований для удовлетворения первоначального иска и отказа в удовлетворении встречных требований.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 Сервис «Держава»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