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12.07.2021, оставленным без изменения постановлением Тринадцатого арбитражного апелляционного суда от 22.12.2021 и постановлением Арбитражного суда Северо-Западного округа от 25.03.2022, 2 с общества в пользу предпринимателя взыскано 437 513 руб. 95 коп. неустойки за период с 02.01.2021 по 06.07.2021, а также неустойка за период с 07.07.2021 по дату фактического исполнения обязательства за каждый день просрочки, исходя из 1/300 ставки рефинансирования Центрального банка Российской Федерации от суммы 15 187 062 руб., действующей на день исполнения обязательства.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проанализировав условия спорного договора, установив факт ненадлежащего исполнения обществом (застройщик) обязательства по передаче предпринимателю (дольщик) объекта долевого строительства, проверив и признав верным представленный предпринимателем расчет неустойки, не усмотрев оснований для применения статьи 333 Гражданского кодекса Российской Федерации, руководствуясь статьями 309, 310, 329, 330 Гражданского кодекса Российской Федерации,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3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«Легенда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