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01.10.2021, оставленным без изменения постановлением Девятого арбитражного апелляционного суда от 06.12.2021 и постановлением Арбитражного суда Московского округа от 29.03.2022,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Отказывая в удовлетворении иска,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15, 1064 Гражданского кодекса Российской Федерации, исходили из недоказанности истцом совокупности условий, необходимых для взыскания с ответчика ущерба. Изложенные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Горбунова Ивана Михайловича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