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«ВолгоРентГрупп» обратилось в Арбитражный суд Самарской области с иском о взыскании с АО «Металлоторг» 1 155 100 рублей, в том числе 600 000 рублей задолженности по договору от 01.05.2018 № 83/Т и 555 100 рублей неустойки. Решением Арбитражного суда Самарской области от 18.11.2021 иск удовлетворен в части взыскания 245 600 рублей неустойки за период с 15.08.2019 по 20.04.2021, а также 5 220 рублей расходов по уплате государственной пошлины; в удовлетворении иска в остальной части отказано. Постановлением Одиннадцатого арбитражного апелляционного суда от 02.02.2022 решение суда первой инстанции оставлено без изменения. Арбитражный суд Поволжского округа постановлением от 26.04.2022 указанные судебные акты оставил без изменения. ООО «ВолгоРентГрупп»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в части взыскания платы за пользование железнодорожными путями истца, суды исходили из отсутствия арендных отношений, прекращения действия договора на подачу и уборку вагонов и недоказанности факта действительного использования ответчиком железнодорожного пути необщего пользования, которое подлежало бы оплате в заявленном размере.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