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09.08.2021 иск удовлетворен. Постановлением Девятого арбитражного апелляционного суда от 19.11.2021 решение суда первой инстанции отменено, в удовлетворении иска отказано. Постановлением Арбитражного суда Московского округа от 24.03.2022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Москвы. Поскольку решение суда первой инстанции отменено постановлением апелляционного суда, его законность не проверяется.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720 Гражданского кодекса Российской Федерации, суд апелляционной инстанции пришел к выводу об отсутствии оснований для удовлетворения иска, исходя из недоказанности обществом факта надлежащего выполнения спорных работ, передачи их результата компании и устранения выявленных последней существенных недостатков (замечаний). Суд округа поддержал выводы апелляционного суда. Доводы кассационной жалобы не опровергают выводы апелляционного и окружного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отмены обжалуемых судебных актов.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«ЭнергоСтройЦентр»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