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06.09.2021, оставленным без изменения постановлением Девятого арбитражного апелляционного суда от 30.11.2021 и постановлением Арбитражного суда Московского округа от 23.03.2022, в удовлетворении первоначального иска отказано, встречный иск удовлетворен. В кассационной жалобе, поданной в Верховный Суд Российской Федерации, общество, ссылаясь на несоответствие выводов судов фактическим обстоятельствам дела и имеющимся в деле доказательствам, просит отменить указанные судебные акты и направить дело на новое рассмотрение в суд первой инстанции в ином составе судей.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имеющиеся в материалах дела доказательства, в том числе экспертное заключение, проанализировав условия договора подряда от 17.11.2020 № 14СБП/2020 и дополнительного соглашения от 17.11.2020 № 1, установив, что компания (заказчик) перечислила обществу (подрядчик) аванс в сумме 443 690 руб. 17 коп., направила подрядчику уведомление о расторжении договора ввиду нарушения им сроков выполнения работ; договор расторгнут в одностороннем порядке; стоимость выполненных подрядчиком работ с учетом устранения недостатков составила 126 012 руб. 65 коп.; доказательств приостановления работ, вины заказчика в просрочке исполнения обязательства, как и доказательств выполнения работ в соответствии с условиями договора подрядчиком не представлено; совокупность условий, необходимых для привлечения подрядчика к ответственности в виде взыскания убытков, заказчиком подтверждена, руководствуясь статьями 15, 309, 310, 450.1, 453, 702, 708, 709, 716, 719, 743, 753, 1102, 1105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первой и апелляционной инстанций пришли к выводу о наличии оснований для отказа в удовлетворении первоначального иска и удовлетворения встречных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«КСБ-Монтаж»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