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«Бекар-Эксплуатация» обратилось в Арбитражный суд города Москвы с иском о взыскании с АО «Федеральная пассажирская компания» 12 842 052 рублей неосновательного обогащения. Решением Арбитражного суда города Москвы от 28.09.2021 иск удовлетворен. Постановлением Девятого арбитражного апелляционного суда от 10.12.2021 решение суда первой инстанции оставлено без изменения. Арбитражный суд Московского округа постановлением от 31.03.2022 указанные судебные акты оставил без изменения. АО «Федеральная пассажирская компания»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конкретные обстоятельства дела, установив несоразмерность уплаченной истцом (исполнителем) неустойки последствиям нарушения обязательства, руководствуясь положениями статей 309, 310, 329, 333, 1102, 1103 Гражданского кодекса Российской Федерации, разъяснениями, изложенными в пунктах 77, 79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уменьшили размер подлежащей уплате неустойки на основании статьи 333 Гражданского кодекса Российской Федерации, удовлетворив иск.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