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апелляционной инстанции и суда округа не противоречат правовой позиции, изложенной в постановлении Президиума Высшего Арбитражного Суда Российской Федерации от 18.03.2008 № 13084/07, определении Верховного Суда Российской Федерации от 05.07.2021 № 307- ЭС21-2135, с учетом пункта 6 Обзора практики разрешения арбитражными судами дел, связанных с применением отдельных положений части первой Налогового кодекса Российской Федерации, доведенного до арбитражных судов информационным письмом Президиума Высшего Арбитражного Суда Российской Федерации от 17.03.2003 № 71.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«АИСА ИТ-СЕРВИС»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