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Ульяновской области от 29.09.2021, оставленным без изменения постановлением Одиннадцатого арбитражного апелляционного суда от 08.02.2022 и постановлением Арбитражного суда Поволжского округа от 14.04.2022,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Как следует из судебных актов, исковые требования корпорации (подрядчик) мотивированы тем, что им при исполнении обязательств по договорам подряда, заключенных с обществом (заказчик) по результатам проведения закупочных процедур в интересах компании, были выполнены дополнительные работы, которые не оплачены. Исследовав и оценив имеющиеся в материалах дела доказательства по правилам статьи 71 Арбитражного процессуального кодекса Российской Федерации, установив, что выполненные корпорацией работы в объеме, предусмотренном договорами, полностью оплачены; доказательств, подтверждающих согласование спорных работ, необходимость незамедлительного выполнения этих работ и передачи их результата заказчику, не представлено, руководствуясь статьями 709, 743 Гражданского кодекса Российской Федерации, суды первой и апелляционной инстанций пришли к выводу об отсутствии оснований для удовлетворения иска.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«Инвентаризационная корпорация по недвижимости и земельным ресурсам»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