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Кузьминова Олега Ульяновича в Арбитражный суд Рязанской области обратился Ярлыков А.Ю. с заявлением, уточненным в порядке статьи 49 Арбитражного процессуального кодекса Российской Федерации, о признании недействительной сделкой договора купли-продажи недвижимого имущества от 02.03.2018, заключенного между должником и ООО «Адамант», и применении последствий недействительности сделки. Определением Арбитражного суда Рязанской области от 25.08.2021 в удовлетворении заявления отказано. Постановлением Двадцатого арбитражного апелляционного суда от 22.11.2021 определение суда первой инстанции оставлено без изменения. Арбитражный суд Центрального округа постановлением от 30.03.2022 указанные судебные акты оставил без изменения. Ярлыков А.Ю.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руководствовались пунктами 1,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заявителем наличия совокупности обстоятельств, необходимой для признания сделки недействительной как совершенной с целью причинения вреда имущественным правам кредиторов. В частности, суды установили, что оплата по договору произведена в полном объеме, представлены доказательства, подтверждающие равноценность встречного исполнения обязательства.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