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«Нэлмос» (далее – общество) обратилось в Арбитражный суд Московской области с исковым заявлением к Калентьеву Владимиру Ивановичу о взыскании 563 080 руб. 80 коп. убытков, 38 801 руб. 63 коп. процентов за пользование чужими денежными средствами, процентов за пользование чужими денежными средствами по день фактического исполнения обязательства.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«Вишняковка-42», Коломейчук Вадим Александрович, Сергунин Алексей Владимирович. Решением Арбитражного суда Московской области от 08.10.2021, оставленным без изменения постановлением Десятого арбитражного апелляционного суда от 23.11.2021, в удовлетворении исковых требований отказано. 2 Не согласившись с указанными судебными актами, общество обратилось в Арбитражный суд Московского округа с кассационной жалобы, одновременно заявив ходатайство о восстановлении пропущенного процессуального срока. Арбитражный суд Московского округа определением от 10.02.2022, оставленным без изменения определением того же суда от 23.03.2022, возвратил кассационную жалобу заявителя на основании пункта 2 части 1 статьи 281 Арбитражного процессуального кодекса Российской Федерации в связи с пропуском срока подачи и отказом в удовлетворении ходатайства о его восстановлении. Общество обратилось в Верховный Суд Российской Федерации с кассационной жалобой на решение суда первой инстанции, постановление суда апелляционной инстанции и определения суда округа, ссылаясь на нарушение судами норм материального права. Письмом Верховного Суда Российской Федерации от 30.05.2022 обществу возвращена кассационная жалоба в части обжалования решения суда первой инстанции и постановления суда апелляционной инстанции, в связи с чем рассмотрению подлежит жалоба в оставшейся части.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Отказывая в удовлетворении ходатайства о восстановлении пропущенного срока подачи кассационной жалобы и возвращая кассационную жалобу, суд округа, руководствуясь положениями статей 9, 115, 276, 281 Арбитражного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25.12.2013 № 99 «О процессуальных сроках», исходил из того, что приведенные заявителем причины пропуска срока не являются уважительными. 3 С указанными выводами согласился суд округа при рассмотрении жалобы заявителя, поданной в порядке статьи 291 Арбитражного процессуального кодекса Российской Федерации. Изложенные в кассационной жалобе доводы не подтверждают существенных нарушений судом округа норм процессуального права, повлиявших на исход дела, и не являются достаточным основанием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«Нэлмос»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