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Манна Андрея Юрьевича в Арбитражный суд города Москвы обратились Гусейнов С.М., Виноградова Л.А., Османов Ю.М., Солнцева В.А., Сазонов И.А., Латур Д.А., Кисельман Г.А., Рязанов Ю.Ю. о включении задолженности по договорам займа в реестр требований кредиторов должника. Определением Арбитражного суда города Москвы от 25.08.2019 производство по заявлениям Гусейнова С.М. и Рязанова Ю.Ю. прекращено. Определением Арбитражного суда города Москвы от 29.01.2020, оставленным без изменения постановлением Девятого арбитражного апелляционного суда от 17.06.2020, требования Османова Ю.М., Виноградовой Л.А., Солнцевой В.А., Сазонова И.А., Латур Д.А., Кисельмана Г.А. признаны обоснованными и включены в реестр требований кредиторов должника. 2 Постановлением Арбитражного суда Московского округа от 01.09.2020 указанные судебные акты отменены в части включения в реестр требований кредиторов должника требований Османова Ю.М., Латур Д.А. и Кисельмана Г.А., в отмененной части обособленный спор направлен на новое рассмотрение в Арбитражный суд города Москвы, в остальной части судебные акты оставлены без изменения. При новом рассмотрении спора определением Арбитражного суда города Москвы от 17.08.2021 в удовлетворении требований указанных кредиторов отказано. Постановлением Девятого арбитражного апелляционного суда от 27.12.2021 определение суда первой инстанции оставлено без изменения. Арбитражный суд Московского округа постановлением от 29.04.2022 указанные судебные акты оставил без изменения. Латур Д.А., Османов Ю.М. и финансовый управляющий Домнин С.А.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807, 808 Гражданского кодекса Российской Федерации,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всех инстанций пришли к выводу о нереальности заемных отношений и отсутствии у кредиторов финансовой возможности выдать займы в спорных размерах. 3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