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Самедова В.Н. в Арбитражный суд Московской области обратился должник с заявлением об исключении из конкурсной массы 1/3 доли жилого дома и земельного участка. Определением Арбитражного суда Московской области от 30.09.2021 в удовлетворении заявления отказано. Постановлением Десятого арбитражного апелляционного суда от 15.12.2021 определение суда первой инстанции отменено, заявление удовлетворено. Арбитражный суд Московского округа постановлением от 12.04.2022 постановление суда апелляционной инстанции отменил и оставил в силе определение суда первой инстанции. Самедов В.Н.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правовой позицией, изложенной в постановлении Конституционного Суда Российской Федерации от 26.04.2021 № 15-П «По делу о проверке конституционности положений абзаца второго части первой статьи 446 Гражданского процессуального кодекса Российской Федерации и пункта 3 статьи 213.25 Федерального закона «О несостоятельности (банкротстве)» в связи с жалобой гражданина И.И. Ревкова», и исходили из фактических обстоятельств спора, установив, что объект недвижимости отчужден должником накануне банкротства в пользу заинтересованных лиц, спорное жилое помещение не расценивалось должником в качестве единственного пригодного для проживания в нем и распоряжение им осуществлено со злоупотреблением правом.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