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Ссылка в кассационной жалобе на ошибочное толкование судами природы возникших между сторонами отношений со ссылкой на то, что истцу передано право требования выплаты страхового возмещения после наступления страхового случая, не может служить основанием для отмены судебных актов, поскольку при рассмотрении спора суды установили, что истец не только не является надлежащим выгодоприобретателем по договору страхования, но и связанные с хищением застрахованного имущества 2 обстоятельства не могут быть расценены как страховой случай по договору страхования и не влекут последствий в виде возложения на ответчика обязанности по выплате страхового возмещения. Основания для иной оценки указанных обстоятельств по доводам жалобы отсутствуют.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«Зодиак»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