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 учетом установленных судами обстоятельств, свидетельствующих о том, что проектная документация по разработке месторождения включает в себя операции по доведению добываемого минерального сырья до определенного стандарта, выводы судов по настоящему делу не противоречат правовой позиции, изложенной в Определении Конституционного Суда Российской Федерации от 31.03.2022 № 530-О.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«МИНЬЯРСКИЙ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