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суда округа не противоречат правовой позиции, изложенной в Определении Верховного Суда РФ от 20.12.2018 № 310-ЭС18-13489, в соответствии с которой штраф и пени одновременно можно взыскать с исполнителя только при условии, если помимо нарушения срока исполнения обязательства допущены иные нарушения контракта, чего в рассматриваемом деле установлено не было.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Самарской области «Агентство по обеспечению деятельности мировых судей Самарской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