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 смыслу приведенных в кассационной жалобе разъяснений, изложенных в абзаце втором пункта 5 постановления Пленума Высшего Арбитражного Суда Российской Федерации от 04.04.2014 № 23 «О некоторых вопросах практики применения арбитражными судами законодательства об экспертизе» недопустимость удовлетворения ходатайства о назначении экспертизы на стадии апелляционного обжалования сопряжена с пассивным поведением стороны спора, несвоевременностью использования предоставленных действующим законодательством процессуальных прав без видимых причин. Между тем в рассматриваемом случае суд апелляционной инстанции, установив допущенное судом первой инстанции нарушение норм процессуального права об установлении значимых для дела обстоятельств, пришел к выводу о необходимости проведения судебной экспертизы.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2916 Арбитражного процессуального кодекса Российской Федерации не подлежит удовлетворению.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Калужской области «Центр занятости населения города Калуга»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ИП Погосян И.В. (подробнее) Ответчики: Государственное казенное учреждение Калужской области Центр занятости населения города Калуга (подробнее) Иные лица: АНО ЦЕНТР ТЕХНИЧЕСКИХ ИССЛЕДОВАНИЙ И КОНСАЛТИНГА "СУДЭКСПЕРТГРУПП" (подробнее) Калужский ГОСП УФССП по Калужской области (подробнее) ООО "Межрегиональная независимая строительная экспертиза"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