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текста определения во вводной и резолютивной частях допущена опечатка в фамилии заявителя кассационной жалобы, а именно: вместо «Ольгский» ошибочно указано «Ольговский». В соответствии с частью 3 статьи 179 Арбитражного процессуального кодекса Российской Федерации арбитражный суд, принявший решение, по своей инициативе вправе исправить допущенные в нем опечатки без изменения его содержания, о чем выносит определение. В данном случае исправление допущенной опечатки не повлияет на существо вынесенного определения и не изменит его содержания. Руководствуясь статьями 179,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опечатку во вводной и резолютивной частях определения Верховного Суда Российской Федерации от 18.07.2022 № 307-ЭС22-8235: вместо фамилии заявителя «Ольговский» читать «Ольгский». Судья Верховного Суда Российской Федерации Н.С. Чучунова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