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«ДЛН-Логистик» обратилось в Арбитражный суд города Санкт- Петербурга и Ленинградской области с иском о взыскании с ИП Бондарчук О.В. 591 797 рублей 55 копеек задолженности по соглашению об урегулировании разногласий, 224 015 рублей 37 копеек неустойки, а также неустойки, начисленной из расчета 0,1% от суммы задолженности за период с 20.03.2021 по день фактического исполнения обязательства по уплате задолженности. Решением Арбитражного суда города Санкт-Петербурга и Ленинградской области от 05.08.2021 иск удовлетворен. Постановлением Тринадцатого арбитражного апелляционного суда от 07.12.2021 решение суда первой инстанции оставлено без изменения. Арбитражный суд Северо-Западного округа постановлением от 24.03.2022 указанные судебные акты оставил без изменения. ИП Бондарчук О.В.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990, 393 Гражданского кодекса Российской Федерации, установив, что обязательства по соглашению об урегулировании разногласий ответчиком не исполнены, суды пришли к выводу об обоснованности заявленных требований.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