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Галиуллина Руслана Рифхатовича в Арбитражный суд Свердловской области обратился финансовый управляющий его имуществом с заявлением, уточненным в порядке статьи 49 Арбитражного процессуального кодекса Российской Федерации, о признании недействительной цепочки сделок - договора купли-продажи от 15.07.2019, заключенного должником с Исаевым Ильнуром Фархатовичем, и последующего договора купли-продажи от 27.12.2019, заключенного Исаевым И.Ф. и Густелевым Дмитрием Александровичем, и применении последствий недействительности сделок в виде возврата имущества в конкурсную массу должника. К участию в споре в качестве третьего лица, не заявляющего самостоятельных требований относительно предмета спора, привлечено ПАО «Сбербанк России». Определением Арбитражного суда Свердловской области от 02.09.2021 заявление удовлетворено частично; признан недействительным договор купли- продажи от 15.07.2019, заключенный должником и Исаевым И.Ф., и применены 2 последствия недействительности сделки в виде взыскания с Исаева И.Ф. в конкурсную массу должника 10 000 000 рублей; в удовлетворении заявления в остальной части отказано. Постановлением Семнадцатого арбитражного апелляционного суда от 29.11.2021 определение суда первой инстанции оставлено без изменения. Арбитражный суд Уральского округа постановлением от 30.03.2022 указанные судебные акты оставил без изменения. ООО «УПС Северо-Запад» обратилось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договор купли-продажи от 15.07.2019 недействительным и применяя последствия его недействительности, суды исходили из доказанности наличия совокупности условий, необходимой для признания оспариваемой сделки недействительной по основаниям, предусмотренным пунктом 2 статьи 61.2 Федерального закона от 26.10.2002 № 127-ФЗ «О несостоятельности (банкротстве)». Установив, что сторонами были совершены отдельные последовательные сделки по отчуждению имущества, в результате данных последовательных сделок конечным добросовестным приобретателем имущества стал Густелев Д.А., который заинтересованным лицом по отношению к должнику не является, приобрел имущество на основании публичного объявления, по рыночной стоимости, оплатил его путем безналичного перечисления денежных средств продавцу, представил доказательства владения и пользования данным имуществом, несения бремени его содержания, суды пришли к выводу об отсутствии оснований для признания второй сделки недействительной. Доводы, изложенные в кассационной жалобе, выводы судов не опровергают, не подтверждают существенных нарушений норм материального 3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