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должник обратилась в Арбитражный суд Самарской области с заявлением об исключении из конкурсной массы квартиры. К участию в рассмотрении обособленного спора в качестве третьего лица привлечен индивидуальный предприниматель ФИО2 Определением Арбитражного суда Самарской области от 19.10.2021 в удовлетворении заявления отказано. Постановлением Одиннадцатого арбитражного апелляционного суда от 21.12.2021 определение суда первой инстанции оставлено без изменения. Арбитражный суд Поволжского округа постановлением от 22.03.2022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статьей 213.25 Федерального закона от 26.10.2002 № 127-ФЗ «О несостоятельности (банкротстве)», статьей 446 Гражданского процессуального кодекса Российской Федерации, статьями 50 , 78 Федерального закона от 16.07.1998 № 102-ФЗ «Об ипотеке (залоге недвижимости)» и исходили из того, что спорная квартира находится в залоге в качестве обеспечения обязательства по кредитному договору и наличие у должника единственного пригодного для постоянного проживания жилого помещения не является препятствием для обращения на него взыскания, если соответствующее жилое помещение является предметом ипотеки.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