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19 июля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обратилось в Верховный Суд Российской Федерации с кассационной жалобой на вышеуказанные судебные акты, одновременно заявив ходатайство об отсрочке уплаты государственной пошлины. В соответствии со статьей 102 Арбитражного процессуального кодекса Российской Федерации основания и порядок уплаты государственной пошлины, а также порядок предоставления отсрочки или рассрочки уплаты государственной пошлины устанавливаются в соответствии с законодательством Российской Федерации о налогах и сборах. На основании пункта 2 статьи 333.22 Налогового кодекса Российской Федерации Верховный Суд Российской Федерации, арбитражные суды, исходя из имущественного положения плательщика, вправе освободить его от уплаты государственной пошлины по делам, рассматриваемым указанными судами, либо уменьшить ее размер, а также отсрочить (рассрочить) ее уплату в порядке, предусмотренном статьей 333.41 настоящего Кодекса. 2 Поскольку обществом в обоснование ходатайства представлены документы, свидетельствующие об отсутствии возможности уплатить государственную пошлину по кассационной жалобе, ходатайство признается обоснованным и подлежит удовлетворению. Принимая во внимание изложенное, руководствуясь статьями 184 и 185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общества с ограниченной ответственностью «ЮжУралпром» об отсрочке уплаты государственной пошлины за рассмотрение кассационной жалобы удовлетворить. Предоставить обществу с ограниченной ответственностью «ЮжУралпром» отсрочку уплаты государственной пошлины до окончания производства по кассационной жалобе на решение Арбитражного суда Челябинской области от 21.09.2021, постановление Восемнадцатого арбитражного апелляционного суда от 14.12.2021 и Арбитражного суда Уральского округа от 12.05.2021 по делу № А76-27162/2021. Судья Верховного Суда Российской Федерации М.К. Антонова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