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16.09.2021, оставленным без изменения постановлением Девятого арбитражного апелляционного суда от 19.11.2021 и постановлением Арбитражного суда Московского округа от 22.03.2022, с общества в пользу предприятия взыскано 3 519 398 руб. 48 коп. неустойки,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изменить указанные судебные акты и снизить 2 размер неустойки на основании статьи 333 Гражданского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заключенного сторонами договора, установив факт нарушения обществом срока оплаты спорного этапа, руководствуясь статьями 309, 310, 330, 421, 769 Гражданского кодекса Российской Федерации, суды первой и апелляционной инстанций признали обоснованным начисление предприятием неустойки за период с 25.12.2020 по 25.05.2021. Произведя перерасчет неустойки в соответствии с условиями пункта 6.4 договора, не установив оснований для применения статьи 333 Гражданского кодекса Российской Федерации ввиду отсутствия доказательств явной несоразмерности неустойки последствиям нарушения обязательства, суды взыскали с общества неустойку в сумме 3 519 398 руб. 48 коп. Суд округа поддержал выводы судов первой и апелляционной инстанций. Доводы кассационной жалобы аналогичны доводам, заявлявшимся в судах нижестоящих инстанций, которым дана надлежащая правовая оценка, не опровергают выводы судов, не подтверждают существенных нарушений судами норм материального права и (или) норм процессуального права, повлиявших на исход дела, в связи с чем оснований для передачи жалобы для рассмотрения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«Научно-производственная корпорация «Иркут»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