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06.07.2022 (согласно потовой накладной) обратился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Последним принятым по делу судебным актом является постановление Арбитражного суда Северо-Кавказского округа от 25.11.2021, срок на обжалование которого истек 25.01.2022.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Кроме того, из приведенных норм следует, что для участвовавшего в деле лица пропуск шестимесячного срока со дня вступления в законную силу обжалуемого судебного акта является неустранимым препятствием в реализации права на восстановление пропущенного процессуального срока подачи кассационной жалобы. Аналогичная позиция изложена в пункте 33 постановления Пленума Высшего Арбитражного Суда Российской Федерации от 25.12.2013 № 99 «О процессуальных сроках». Поскольку кассационная жалоба (вместе с ходатайством о восстановлении пропущенного срока) подана предпринимателем за пределами шестимесячного 3 срока со дня вступления в законную силу обжалуемого постановления суда округа, у суда отсутствуют правовые основания для удовлетворения заявленного ходатайства. На основании изложенного,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Авджяну Амбарцуму Ашотовичу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Краснодарского края от 20.05.2021, постановление Пятнадцатого арбитражного апелляционного суда от 19.08.2021 и постановление Арбитражного суда Северо-Кавказского округа от 25.11.2021 по делу № А32-9249/2021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