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Масленникова Павла Александровича финансовый управляющий имуществом должника Мишнева К.Р. обратилась в Арбитражный суд Челябинской области с заявлением о признании недействительными сделками перечисление денежных средств с расчетного счета должника в пользу Церекидзе Б.Б. в общей сумме 580 000 рублей и применении последствий их недействительности. Определением Арбитражного суда Челябинской области от 01.09.2021 заявление финансового управляющего удовлетворено, сделка признана недействительной, применены последствия недействительности сделки в виде взыскания с Церекидзе Б.Б. в конкурсную массу должника 580 000 рублей. Постановлением Восемнадцатого арбитражного апелляционного суда от 06.12.2021 определение суда первой инстанции остановлено без изменения. Арбитражный суд Уральского округа постановлением от 23.03.2022 указанные судебные акты оставил без изменения. Цирекидзе Б.Б. обратился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Установив, что сделка по перечислению денежных средств совершена до 01.10.2015, с целью причинить вред кредиторам, в отсутствии экономической обоснованности для ее совершения, суды сделали вывод о наличии оснований для признания сделки недействительной на основании статей 10, 168 Гражданского кодекса Российской Федерации, признав не пропущенным срок исковой давности.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Цирекидзе Б.Б.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