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30.07.2021, оставленным без изменения постановлением Девятого арбитражного апелляционного суда от 28.10.2021 и постановлением Арбитражного суда Московского округа от 16.03.2022, в удовлетворении иска отказано. В кассационной жалобе, поданной в Верховный Суд Российской Федерации, предприятие,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Разрешая спор и отказывая в удовлетворении иска, суды первой и апелляционной инстанций, с выводами которых впоследствии согласился суд округа, исследовав и оценив представленные в материалы дела доказательства по правилам статьи 71 Арбитражного процессуального кодекса Российской Федерации, руководствуясь статьей 1102 Гражданского кодекса Российской Федерации, исходили из недоказанности предприятием наличия на стороне общества неосновательного обогащения в заявленном размере. Доводы кассационной жалобы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федерального государственного унитарного предприятия «Ремонтно-строительное управление» Управления делами Президента Российской Федерации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