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22.09.2021, оставленным без изменения постановлением Двадцатого арбитражного апелляционного суда от 20.01.2022 и постановлением Арбитражного суда 2 Центрального округа от 27.04.2022, в удовлетворении первоначального иска отказано, встречный иск удовлетворен.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несоответствие выводов судов фактическим обстоятельствам дела, просит отменить указанные судебные акты и принять по делу новый судебный акт об удовлетворении первоначального иска и отказе в удовлетворении встречных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спорного контракта, суды первой и апелляционной инстанций установили, что во исполнение обязательств по контракту общество (заказчик) перечислило компании (подрядчик) аванс в сумме 816 944 руб., компания в период действия контракта выполнила работы стоимостью 392 248 руб. 80 коп., доказательств предоставления встречного исполнения на оставшуюся сумму не представила, наличие совокупности условий, необходимых для привлечения общества к ответственности в виде взыскания убытков, не подтвердила. При таких обстоятельствах, руководствуясь статьями 15, 307, 393, 431, 702, 709, 711, 753, 1102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об отсутствии оснований для удовлетворения первоначального иска и обоснованности встречных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«Электротехническая компания «Эсперанто+»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